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056CC" w:rsidRPr="007056CC" w:rsidP="007056CC">
      <w:pPr>
        <w:spacing w:line="480" w:lineRule="auto"/>
        <w:rPr>
          <w:rFonts w:ascii="Times New Roman" w:hAnsi="Times New Roman" w:cs="Times New Roman"/>
          <w:sz w:val="24"/>
          <w:szCs w:val="24"/>
        </w:rPr>
      </w:pPr>
      <w:r w:rsidRPr="007056CC">
        <w:rPr>
          <w:rFonts w:ascii="Times New Roman" w:hAnsi="Times New Roman" w:cs="Times New Roman"/>
          <w:sz w:val="24"/>
          <w:szCs w:val="24"/>
        </w:rPr>
        <w:t>Student’s Name</w:t>
      </w:r>
    </w:p>
    <w:p w:rsidR="007056CC" w:rsidRPr="007056CC" w:rsidP="007056CC">
      <w:pPr>
        <w:spacing w:line="480" w:lineRule="auto"/>
        <w:rPr>
          <w:rFonts w:ascii="Times New Roman" w:hAnsi="Times New Roman" w:cs="Times New Roman"/>
          <w:sz w:val="24"/>
          <w:szCs w:val="24"/>
        </w:rPr>
      </w:pPr>
      <w:r w:rsidRPr="007056CC">
        <w:rPr>
          <w:rFonts w:ascii="Times New Roman" w:hAnsi="Times New Roman" w:cs="Times New Roman"/>
          <w:sz w:val="24"/>
          <w:szCs w:val="24"/>
        </w:rPr>
        <w:t>Professor’s Name</w:t>
      </w:r>
    </w:p>
    <w:p w:rsidR="007056CC" w:rsidRPr="007056CC" w:rsidP="007056CC">
      <w:pPr>
        <w:spacing w:line="480" w:lineRule="auto"/>
        <w:rPr>
          <w:rFonts w:ascii="Times New Roman" w:hAnsi="Times New Roman" w:cs="Times New Roman"/>
          <w:sz w:val="24"/>
          <w:szCs w:val="24"/>
        </w:rPr>
      </w:pPr>
      <w:r w:rsidRPr="007056CC">
        <w:rPr>
          <w:rFonts w:ascii="Times New Roman" w:hAnsi="Times New Roman" w:cs="Times New Roman"/>
          <w:sz w:val="24"/>
          <w:szCs w:val="24"/>
        </w:rPr>
        <w:t>Course</w:t>
      </w:r>
    </w:p>
    <w:p w:rsidR="007056CC" w:rsidP="00326A31">
      <w:pPr>
        <w:spacing w:line="480" w:lineRule="auto"/>
        <w:rPr>
          <w:rFonts w:ascii="Times New Roman" w:hAnsi="Times New Roman" w:cs="Times New Roman"/>
          <w:sz w:val="24"/>
          <w:szCs w:val="24"/>
        </w:rPr>
      </w:pPr>
      <w:r w:rsidRPr="007056CC">
        <w:rPr>
          <w:rFonts w:ascii="Times New Roman" w:hAnsi="Times New Roman" w:cs="Times New Roman"/>
          <w:sz w:val="24"/>
          <w:szCs w:val="24"/>
        </w:rPr>
        <w:t>Date of Submission</w:t>
      </w:r>
    </w:p>
    <w:p w:rsidR="004C1EB6" w:rsidRPr="007056CC" w:rsidP="007056CC">
      <w:pPr>
        <w:spacing w:line="480" w:lineRule="auto"/>
        <w:jc w:val="center"/>
        <w:rPr>
          <w:rFonts w:ascii="Times New Roman" w:hAnsi="Times New Roman" w:cs="Times New Roman"/>
          <w:sz w:val="24"/>
          <w:szCs w:val="24"/>
        </w:rPr>
      </w:pPr>
      <w:r w:rsidRPr="00326A31">
        <w:rPr>
          <w:rFonts w:ascii="Times New Roman" w:hAnsi="Times New Roman" w:cs="Times New Roman"/>
          <w:b/>
          <w:sz w:val="24"/>
          <w:szCs w:val="24"/>
        </w:rPr>
        <w:t>Contrasting essays</w:t>
      </w:r>
    </w:p>
    <w:p w:rsidR="00326A31" w:rsidRPr="00326A31" w:rsidP="007056CC">
      <w:pPr>
        <w:spacing w:line="480" w:lineRule="auto"/>
        <w:jc w:val="center"/>
        <w:rPr>
          <w:rFonts w:ascii="Times New Roman" w:hAnsi="Times New Roman" w:cs="Times New Roman"/>
          <w:b/>
          <w:sz w:val="24"/>
          <w:szCs w:val="24"/>
        </w:rPr>
      </w:pPr>
      <w:r w:rsidRPr="00326A31">
        <w:rPr>
          <w:rFonts w:ascii="Times New Roman" w:hAnsi="Times New Roman" w:cs="Times New Roman"/>
          <w:b/>
          <w:sz w:val="24"/>
          <w:szCs w:val="24"/>
        </w:rPr>
        <w:t>The formality of the pieces
</w:t>
      </w:r>
    </w:p>
    <w:p w:rsidR="00482BB8" w:rsidRPr="00326A31" w:rsidP="00410D32">
      <w:pPr>
        <w:spacing w:line="480" w:lineRule="auto"/>
        <w:ind w:firstLine="720"/>
        <w:rPr>
          <w:rFonts w:ascii="Times New Roman" w:hAnsi="Times New Roman" w:cs="Times New Roman"/>
          <w:sz w:val="24"/>
          <w:szCs w:val="24"/>
        </w:rPr>
      </w:pPr>
      <w:r w:rsidRPr="00326A31">
        <w:rPr>
          <w:rFonts w:ascii="Times New Roman" w:hAnsi="Times New Roman" w:cs="Times New Roman"/>
          <w:sz w:val="24"/>
          <w:szCs w:val="24"/>
        </w:rPr>
        <w:t>The three articles: Mary Sherry's "In Praise of the 'F' Word, Anna Quindlen's "Driving to the Funeral," and Mark Bittman's "What causes weight Gain" are different in various aspects.</w:t>
      </w:r>
      <w:r w:rsidRPr="00326A31" w:rsidR="00A94F39">
        <w:rPr>
          <w:rFonts w:ascii="Times New Roman" w:hAnsi="Times New Roman" w:cs="Times New Roman"/>
          <w:sz w:val="24"/>
          <w:szCs w:val="24"/>
        </w:rPr>
        <w:t xml:space="preserve"> One of the differences is that while Sherry’s article is informal, </w:t>
      </w:r>
      <w:r w:rsidR="00410D32">
        <w:rPr>
          <w:rFonts w:ascii="Times New Roman" w:hAnsi="Times New Roman" w:cs="Times New Roman"/>
          <w:sz w:val="24"/>
          <w:szCs w:val="24"/>
        </w:rPr>
        <w:t>Quindl</w:t>
      </w:r>
      <w:r w:rsidRPr="00326A31" w:rsidR="00A94F39">
        <w:rPr>
          <w:rFonts w:ascii="Times New Roman" w:hAnsi="Times New Roman" w:cs="Times New Roman"/>
          <w:sz w:val="24"/>
          <w:szCs w:val="24"/>
        </w:rPr>
        <w:t xml:space="preserve">en's essay is both formal and informal, and that of Bittman is formal. Sherry's piece is casual because </w:t>
      </w:r>
      <w:r w:rsidRPr="00326A31" w:rsidR="00185B6F">
        <w:rPr>
          <w:rFonts w:ascii="Times New Roman" w:hAnsi="Times New Roman" w:cs="Times New Roman"/>
          <w:sz w:val="24"/>
          <w:szCs w:val="24"/>
        </w:rPr>
        <w:t xml:space="preserve">she uses her personal experience to support her claim. She does not use any official information to support her thesis. She shares with the reader her son's senior year high school experience, who was not willing to put the necessary effort required in class. His teacher, </w:t>
      </w:r>
      <w:r w:rsidRPr="00326A31" w:rsidR="00B41796">
        <w:rPr>
          <w:rFonts w:ascii="Times New Roman" w:hAnsi="Times New Roman" w:cs="Times New Roman"/>
          <w:sz w:val="24"/>
          <w:szCs w:val="24"/>
        </w:rPr>
        <w:t>Mrs.</w:t>
      </w:r>
      <w:r w:rsidRPr="00326A31" w:rsidR="00185B6F">
        <w:rPr>
          <w:rFonts w:ascii="Times New Roman" w:hAnsi="Times New Roman" w:cs="Times New Roman"/>
          <w:sz w:val="24"/>
          <w:szCs w:val="24"/>
        </w:rPr>
        <w:t xml:space="preserve"> Stifter, was not ready to tolerate it, and she threatened to flunk him. Upon learning this, the boy made English a priority and passed the subject with an A grade. This example, which Sherry uses as the primary evidence to support her claims, is informal because it is based on her personal experience. Throughout her article, there is no scientific research or journal to support her claims. She uses her own experience to </w:t>
      </w:r>
      <w:r w:rsidRPr="00326A31" w:rsidR="00B41796">
        <w:rPr>
          <w:rFonts w:ascii="Times New Roman" w:hAnsi="Times New Roman" w:cs="Times New Roman"/>
          <w:sz w:val="24"/>
          <w:szCs w:val="24"/>
        </w:rPr>
        <w:t>lay her claim that teachers should use failure as a teaching tool to motivate students to work hard in school.</w:t>
      </w:r>
      <w:r w:rsidRPr="00326A31" w:rsidR="00185B6F">
        <w:rPr>
          <w:rFonts w:ascii="Times New Roman" w:hAnsi="Times New Roman" w:cs="Times New Roman"/>
          <w:sz w:val="24"/>
          <w:szCs w:val="24"/>
        </w:rPr>
        <w:t xml:space="preserve"> </w:t>
      </w:r>
      <w:r w:rsidRPr="00326A31" w:rsidR="00B41796">
        <w:rPr>
          <w:rFonts w:ascii="Times New Roman" w:hAnsi="Times New Roman" w:cs="Times New Roman"/>
          <w:sz w:val="24"/>
          <w:szCs w:val="24"/>
        </w:rPr>
        <w:t xml:space="preserve">The text lacks outside sources, and this is one of the greatest weaknesses of Sherry’s work. There were no numbers or case studies conducted </w:t>
      </w:r>
      <w:r w:rsidRPr="00326A31" w:rsidR="00B936B1">
        <w:rPr>
          <w:rFonts w:ascii="Times New Roman" w:hAnsi="Times New Roman" w:cs="Times New Roman"/>
          <w:sz w:val="24"/>
          <w:szCs w:val="24"/>
        </w:rPr>
        <w:t xml:space="preserve">to see how many students </w:t>
      </w:r>
      <w:r w:rsidRPr="00326A31" w:rsidR="00B936B1">
        <w:rPr>
          <w:rFonts w:ascii="Times New Roman" w:hAnsi="Times New Roman" w:cs="Times New Roman"/>
          <w:sz w:val="24"/>
          <w:szCs w:val="24"/>
        </w:rPr>
        <w:t xml:space="preserve">have experienced situations where they didn’t have to do much to earn their diploma. The lack of outside sources makes Sherry’s work less persuasive and unreliable. </w:t>
      </w:r>
    </w:p>
    <w:p w:rsidR="00B936B1" w:rsidRPr="00326A31" w:rsidP="007056CC">
      <w:pPr>
        <w:spacing w:line="480" w:lineRule="auto"/>
        <w:ind w:firstLine="720"/>
        <w:rPr>
          <w:rFonts w:ascii="Times New Roman" w:hAnsi="Times New Roman" w:cs="Times New Roman"/>
          <w:sz w:val="24"/>
          <w:szCs w:val="24"/>
        </w:rPr>
      </w:pPr>
      <w:r w:rsidRPr="00326A31">
        <w:rPr>
          <w:rFonts w:ascii="Times New Roman" w:hAnsi="Times New Roman" w:cs="Times New Roman"/>
          <w:sz w:val="24"/>
          <w:szCs w:val="24"/>
        </w:rPr>
        <w:t>Quindlen's work, on the other hand, is both informal and formal. The advisory nature of her work evidences the casual aspect of the essay. The author appeals to parents to be patient until their children are past the danger age of driving-16 years. The formal element of the article is evidenced by the use of statistics in support of her claims. She cites statistics from the National Highway Traffic Safety Administration that clearly showed that 16-year-old teenager</w:t>
      </w:r>
      <w:r w:rsidR="00531EE5">
        <w:rPr>
          <w:rFonts w:ascii="Times New Roman" w:hAnsi="Times New Roman" w:cs="Times New Roman"/>
          <w:sz w:val="24"/>
          <w:szCs w:val="24"/>
        </w:rPr>
        <w:t xml:space="preserve">s caused more accidents than </w:t>
      </w:r>
      <w:r w:rsidRPr="00326A31">
        <w:rPr>
          <w:rFonts w:ascii="Times New Roman" w:hAnsi="Times New Roman" w:cs="Times New Roman"/>
          <w:sz w:val="24"/>
          <w:szCs w:val="24"/>
        </w:rPr>
        <w:t>their 17-year-old counterparts.</w:t>
      </w:r>
      <w:r w:rsidRPr="00326A31" w:rsidR="00E55381">
        <w:rPr>
          <w:rFonts w:ascii="Times New Roman" w:hAnsi="Times New Roman" w:cs="Times New Roman"/>
          <w:sz w:val="24"/>
          <w:szCs w:val="24"/>
        </w:rPr>
        <w:t xml:space="preserve"> The author’s general argument appears to be highly effective because she uses both formal and informal evidence to support her claim.</w:t>
      </w:r>
    </w:p>
    <w:p w:rsidR="00D96A90" w:rsidRPr="00326A31" w:rsidP="007056CC">
      <w:pPr>
        <w:spacing w:line="480" w:lineRule="auto"/>
        <w:ind w:firstLine="720"/>
        <w:rPr>
          <w:rFonts w:ascii="Times New Roman" w:hAnsi="Times New Roman" w:cs="Times New Roman"/>
          <w:sz w:val="24"/>
          <w:szCs w:val="24"/>
        </w:rPr>
      </w:pPr>
      <w:r w:rsidRPr="00326A31">
        <w:rPr>
          <w:rFonts w:ascii="Times New Roman" w:hAnsi="Times New Roman" w:cs="Times New Roman"/>
          <w:sz w:val="24"/>
          <w:szCs w:val="24"/>
        </w:rPr>
        <w:t xml:space="preserve">Bittman’s essay is purely formal. The author </w:t>
      </w:r>
      <w:r w:rsidRPr="00326A31">
        <w:rPr>
          <w:rFonts w:ascii="Times New Roman" w:hAnsi="Times New Roman" w:cs="Times New Roman"/>
          <w:sz w:val="24"/>
          <w:szCs w:val="24"/>
        </w:rPr>
        <w:t>only uses published data from credible sources to support his claim. He quotes from the Institute of Medicine and the Department of Agriculture to support her claim that real food promotes health and less likely to cause disease than hyper-processed food. His text if full of in-text citations from other people, which makes the essay formal. For example, he supports his claim that caloric sweeteners lead to weight gain and cause Type 2 diabetes by quoting (Johnson et al.). (513). He has also used Khan's work to prove that the US is the world's most obese country and the cost of obesity in the country.</w:t>
      </w:r>
      <w:r w:rsidRPr="00326A31" w:rsidR="00470ADF">
        <w:rPr>
          <w:rFonts w:ascii="Times New Roman" w:hAnsi="Times New Roman" w:cs="Times New Roman"/>
          <w:sz w:val="24"/>
          <w:szCs w:val="24"/>
        </w:rPr>
        <w:t xml:space="preserve"> Bittman’s argument is made very effective by the formality of his text.</w:t>
      </w:r>
    </w:p>
    <w:p w:rsidR="00470ADF" w:rsidRPr="00326A31" w:rsidP="00326A31">
      <w:pPr>
        <w:spacing w:line="480" w:lineRule="auto"/>
        <w:jc w:val="center"/>
        <w:rPr>
          <w:rFonts w:ascii="Times New Roman" w:hAnsi="Times New Roman" w:cs="Times New Roman"/>
          <w:b/>
          <w:sz w:val="24"/>
          <w:szCs w:val="24"/>
        </w:rPr>
      </w:pPr>
      <w:r w:rsidRPr="00326A31">
        <w:rPr>
          <w:rFonts w:ascii="Times New Roman" w:hAnsi="Times New Roman" w:cs="Times New Roman"/>
          <w:b/>
          <w:sz w:val="24"/>
          <w:szCs w:val="24"/>
        </w:rPr>
        <w:t>Use of pronouns</w:t>
      </w:r>
    </w:p>
    <w:p w:rsidR="0050652F" w:rsidRPr="00326A31" w:rsidP="007056CC">
      <w:pPr>
        <w:spacing w:line="480" w:lineRule="auto"/>
        <w:ind w:firstLine="720"/>
        <w:rPr>
          <w:rFonts w:ascii="Times New Roman" w:hAnsi="Times New Roman" w:cs="Times New Roman"/>
          <w:sz w:val="24"/>
          <w:szCs w:val="24"/>
        </w:rPr>
      </w:pPr>
      <w:r w:rsidRPr="00326A31">
        <w:rPr>
          <w:rFonts w:ascii="Times New Roman" w:hAnsi="Times New Roman" w:cs="Times New Roman"/>
          <w:sz w:val="24"/>
          <w:szCs w:val="24"/>
        </w:rPr>
        <w:t xml:space="preserve">The use of pronouns is another aspect that differentiates the three essays. In Sherry's piece, </w:t>
      </w:r>
      <w:r w:rsidRPr="00326A31" w:rsidR="003E4407">
        <w:rPr>
          <w:rFonts w:ascii="Times New Roman" w:hAnsi="Times New Roman" w:cs="Times New Roman"/>
          <w:sz w:val="24"/>
          <w:szCs w:val="24"/>
        </w:rPr>
        <w:t xml:space="preserve">the pronoun "I" appears many times because the author writes from her personal experience. For example, she says, "I will never </w:t>
      </w:r>
      <w:r w:rsidRPr="00326A31" w:rsidR="00C81F7B">
        <w:rPr>
          <w:rFonts w:ascii="Times New Roman" w:hAnsi="Times New Roman" w:cs="Times New Roman"/>
          <w:sz w:val="24"/>
          <w:szCs w:val="24"/>
        </w:rPr>
        <w:t>forget</w:t>
      </w:r>
      <w:r w:rsidRPr="00326A31" w:rsidR="003E4407">
        <w:rPr>
          <w:rFonts w:ascii="Times New Roman" w:hAnsi="Times New Roman" w:cs="Times New Roman"/>
          <w:sz w:val="24"/>
          <w:szCs w:val="24"/>
        </w:rPr>
        <w:t xml:space="preserve"> a teacher who…” The author also uses </w:t>
      </w:r>
      <w:r w:rsidRPr="00326A31" w:rsidR="003E4407">
        <w:rPr>
          <w:rFonts w:ascii="Times New Roman" w:hAnsi="Times New Roman" w:cs="Times New Roman"/>
          <w:sz w:val="24"/>
          <w:szCs w:val="24"/>
        </w:rPr>
        <w:t xml:space="preserve">other pronouns like "our" and "my." These pronouns show that the author has used her own experience to write the text. The pronoun </w:t>
      </w:r>
      <w:r w:rsidR="00531EE5">
        <w:rPr>
          <w:rFonts w:ascii="Times New Roman" w:hAnsi="Times New Roman" w:cs="Times New Roman"/>
          <w:sz w:val="24"/>
          <w:szCs w:val="24"/>
        </w:rPr>
        <w:t>“</w:t>
      </w:r>
      <w:r w:rsidRPr="00326A31" w:rsidR="003E4407">
        <w:rPr>
          <w:rFonts w:ascii="Times New Roman" w:hAnsi="Times New Roman" w:cs="Times New Roman"/>
          <w:sz w:val="24"/>
          <w:szCs w:val="24"/>
        </w:rPr>
        <w:t>I</w:t>
      </w:r>
      <w:r w:rsidR="00531EE5">
        <w:rPr>
          <w:rFonts w:ascii="Times New Roman" w:hAnsi="Times New Roman" w:cs="Times New Roman"/>
          <w:sz w:val="24"/>
          <w:szCs w:val="24"/>
        </w:rPr>
        <w:t>”</w:t>
      </w:r>
      <w:r w:rsidRPr="00326A31" w:rsidR="003E4407">
        <w:rPr>
          <w:rFonts w:ascii="Times New Roman" w:hAnsi="Times New Roman" w:cs="Times New Roman"/>
          <w:sz w:val="24"/>
          <w:szCs w:val="24"/>
        </w:rPr>
        <w:t xml:space="preserve"> in particular appears very many times in the text as the author tries to explain her experience with students.</w:t>
      </w:r>
      <w:r w:rsidRPr="00326A31">
        <w:rPr>
          <w:rFonts w:ascii="Times New Roman" w:hAnsi="Times New Roman" w:cs="Times New Roman"/>
          <w:sz w:val="24"/>
          <w:szCs w:val="24"/>
        </w:rPr>
        <w:t xml:space="preserve"> The use of the first person makes the reader the text as the narrator. The personal pronouns make the reader</w:t>
      </w:r>
      <w:r w:rsidR="00531EE5">
        <w:rPr>
          <w:rFonts w:ascii="Times New Roman" w:hAnsi="Times New Roman" w:cs="Times New Roman"/>
          <w:sz w:val="24"/>
          <w:szCs w:val="24"/>
        </w:rPr>
        <w:t>s</w:t>
      </w:r>
      <w:r w:rsidRPr="00326A31">
        <w:rPr>
          <w:rFonts w:ascii="Times New Roman" w:hAnsi="Times New Roman" w:cs="Times New Roman"/>
          <w:sz w:val="24"/>
          <w:szCs w:val="24"/>
        </w:rPr>
        <w:t xml:space="preserve"> feel as tho</w:t>
      </w:r>
      <w:r w:rsidR="00531EE5">
        <w:rPr>
          <w:rFonts w:ascii="Times New Roman" w:hAnsi="Times New Roman" w:cs="Times New Roman"/>
          <w:sz w:val="24"/>
          <w:szCs w:val="24"/>
        </w:rPr>
        <w:t>ugh the story is being told to them</w:t>
      </w:r>
      <w:r w:rsidRPr="00326A31">
        <w:rPr>
          <w:rFonts w:ascii="Times New Roman" w:hAnsi="Times New Roman" w:cs="Times New Roman"/>
          <w:sz w:val="24"/>
          <w:szCs w:val="24"/>
        </w:rPr>
        <w:t>.</w:t>
      </w:r>
      <w:r w:rsidRPr="00326A31" w:rsidR="00457479">
        <w:rPr>
          <w:rFonts w:ascii="Times New Roman" w:hAnsi="Times New Roman" w:cs="Times New Roman"/>
          <w:sz w:val="24"/>
          <w:szCs w:val="24"/>
        </w:rPr>
        <w:t xml:space="preserve"> </w:t>
      </w:r>
      <w:r w:rsidR="00531EE5">
        <w:rPr>
          <w:rFonts w:ascii="Times New Roman" w:hAnsi="Times New Roman" w:cs="Times New Roman"/>
          <w:sz w:val="24"/>
          <w:szCs w:val="24"/>
        </w:rPr>
        <w:t xml:space="preserve">In contrast, </w:t>
      </w:r>
      <w:bookmarkStart w:id="0" w:name="_GoBack"/>
      <w:bookmarkEnd w:id="0"/>
      <w:r w:rsidRPr="00326A31" w:rsidR="00DB65BE">
        <w:rPr>
          <w:rFonts w:ascii="Times New Roman" w:hAnsi="Times New Roman" w:cs="Times New Roman"/>
          <w:sz w:val="24"/>
          <w:szCs w:val="24"/>
        </w:rPr>
        <w:t xml:space="preserve">Quindlen has rarely used personal </w:t>
      </w:r>
      <w:r w:rsidRPr="00326A31" w:rsidR="00457479">
        <w:rPr>
          <w:rFonts w:ascii="Times New Roman" w:hAnsi="Times New Roman" w:cs="Times New Roman"/>
          <w:sz w:val="24"/>
          <w:szCs w:val="24"/>
        </w:rPr>
        <w:t>pronouns in her essay.</w:t>
      </w:r>
      <w:r w:rsidRPr="00326A31">
        <w:rPr>
          <w:rFonts w:ascii="Times New Roman" w:hAnsi="Times New Roman" w:cs="Times New Roman"/>
          <w:sz w:val="24"/>
          <w:szCs w:val="24"/>
        </w:rPr>
        <w:t xml:space="preserve"> This is because much of her piece is formal. On the other hand, Bittman has used personal pronouns in his article "What Causes Weight Gain." Bittman uses these pronouns in plural form </w:t>
      </w:r>
      <w:r w:rsidRPr="00326A31" w:rsidR="00640D23">
        <w:rPr>
          <w:rFonts w:ascii="Times New Roman" w:hAnsi="Times New Roman" w:cs="Times New Roman"/>
          <w:sz w:val="24"/>
          <w:szCs w:val="24"/>
        </w:rPr>
        <w:t>i.e.</w:t>
      </w:r>
      <w:r w:rsidRPr="00326A31">
        <w:rPr>
          <w:rFonts w:ascii="Times New Roman" w:hAnsi="Times New Roman" w:cs="Times New Roman"/>
          <w:sz w:val="24"/>
          <w:szCs w:val="24"/>
        </w:rPr>
        <w:t xml:space="preserve">, </w:t>
      </w:r>
      <w:r w:rsidRPr="00326A31" w:rsidR="00640D23">
        <w:rPr>
          <w:rFonts w:ascii="Times New Roman" w:hAnsi="Times New Roman" w:cs="Times New Roman"/>
          <w:sz w:val="24"/>
          <w:szCs w:val="24"/>
        </w:rPr>
        <w:t>“</w:t>
      </w:r>
      <w:r w:rsidRPr="00326A31">
        <w:rPr>
          <w:rFonts w:ascii="Times New Roman" w:hAnsi="Times New Roman" w:cs="Times New Roman"/>
          <w:sz w:val="24"/>
          <w:szCs w:val="24"/>
        </w:rPr>
        <w:t>we</w:t>
      </w:r>
      <w:r w:rsidRPr="00326A31">
        <w:rPr>
          <w:rFonts w:ascii="Times New Roman" w:hAnsi="Times New Roman" w:cs="Times New Roman"/>
          <w:sz w:val="24"/>
          <w:szCs w:val="24"/>
        </w:rPr>
        <w:t xml:space="preserve">." The most frequently used </w:t>
      </w:r>
      <w:r w:rsidRPr="00326A31" w:rsidR="00640D23">
        <w:rPr>
          <w:rFonts w:ascii="Times New Roman" w:hAnsi="Times New Roman" w:cs="Times New Roman"/>
          <w:sz w:val="24"/>
          <w:szCs w:val="24"/>
        </w:rPr>
        <w:t xml:space="preserve">pronoun is "we." I think Bittman uses the pronoun to show that he is part of the people he's addressing. He doesn't exclude himself. Examples of incidences where the author has used the pronoun we are "we don't know everything…, and we can further refine that message… (Paragraph 2), and yet we're in the middle of… (Paragraph 3). The use of </w:t>
      </w:r>
      <w:r w:rsidR="007056CC">
        <w:rPr>
          <w:rFonts w:ascii="Times New Roman" w:hAnsi="Times New Roman" w:cs="Times New Roman"/>
          <w:sz w:val="24"/>
          <w:szCs w:val="24"/>
        </w:rPr>
        <w:t>“</w:t>
      </w:r>
      <w:r w:rsidRPr="00326A31" w:rsidR="00640D23">
        <w:rPr>
          <w:rFonts w:ascii="Times New Roman" w:hAnsi="Times New Roman" w:cs="Times New Roman"/>
          <w:sz w:val="24"/>
          <w:szCs w:val="24"/>
        </w:rPr>
        <w:t>we</w:t>
      </w:r>
      <w:r w:rsidR="007056CC">
        <w:rPr>
          <w:rFonts w:ascii="Times New Roman" w:hAnsi="Times New Roman" w:cs="Times New Roman"/>
          <w:sz w:val="24"/>
          <w:szCs w:val="24"/>
        </w:rPr>
        <w:t>”</w:t>
      </w:r>
      <w:r w:rsidRPr="00326A31" w:rsidR="00640D23">
        <w:rPr>
          <w:rFonts w:ascii="Times New Roman" w:hAnsi="Times New Roman" w:cs="Times New Roman"/>
          <w:sz w:val="24"/>
          <w:szCs w:val="24"/>
        </w:rPr>
        <w:t xml:space="preserve"> in the text makes the reader feel that he/she is part of what is being discussed. To me, Bittman has effectively used personal pronouns in laying his claims.</w:t>
      </w:r>
    </w:p>
    <w:p w:rsidR="00640D23" w:rsidRPr="00326A31" w:rsidP="00326A31">
      <w:pPr>
        <w:spacing w:line="480" w:lineRule="auto"/>
        <w:jc w:val="center"/>
        <w:rPr>
          <w:rFonts w:ascii="Times New Roman" w:hAnsi="Times New Roman" w:cs="Times New Roman"/>
          <w:b/>
          <w:sz w:val="24"/>
          <w:szCs w:val="24"/>
        </w:rPr>
      </w:pPr>
      <w:r w:rsidRPr="00326A31">
        <w:rPr>
          <w:rFonts w:ascii="Times New Roman" w:hAnsi="Times New Roman" w:cs="Times New Roman"/>
          <w:b/>
          <w:sz w:val="24"/>
          <w:szCs w:val="24"/>
        </w:rPr>
        <w:t>Use of ethos, pathos, and logos in the essays
</w:t>
      </w:r>
    </w:p>
    <w:p w:rsidR="00640D23" w:rsidRPr="00326A31" w:rsidP="007056CC">
      <w:pPr>
        <w:spacing w:line="480" w:lineRule="auto"/>
        <w:ind w:firstLine="720"/>
        <w:rPr>
          <w:rFonts w:ascii="Times New Roman" w:hAnsi="Times New Roman" w:cs="Times New Roman"/>
          <w:sz w:val="24"/>
          <w:szCs w:val="24"/>
        </w:rPr>
      </w:pPr>
      <w:r w:rsidRPr="00326A31">
        <w:rPr>
          <w:rFonts w:ascii="Times New Roman" w:hAnsi="Times New Roman" w:cs="Times New Roman"/>
          <w:sz w:val="24"/>
          <w:szCs w:val="24"/>
        </w:rPr>
        <w:t>The third aspect that contrasts the three pieces is the way the authors use</w:t>
      </w:r>
      <w:r w:rsidR="007056CC">
        <w:rPr>
          <w:rFonts w:ascii="Times New Roman" w:hAnsi="Times New Roman" w:cs="Times New Roman"/>
          <w:sz w:val="24"/>
          <w:szCs w:val="24"/>
        </w:rPr>
        <w:t xml:space="preserve"> rhetorical appeals of</w:t>
      </w:r>
      <w:r w:rsidRPr="00326A31">
        <w:rPr>
          <w:rFonts w:ascii="Times New Roman" w:hAnsi="Times New Roman" w:cs="Times New Roman"/>
          <w:sz w:val="24"/>
          <w:szCs w:val="24"/>
        </w:rPr>
        <w:t xml:space="preserve"> ethos, pathos, and logos to persuade their audiences. To start with, Sherry </w:t>
      </w:r>
      <w:r w:rsidRPr="00326A31" w:rsidR="00B062E2">
        <w:rPr>
          <w:rFonts w:ascii="Times New Roman" w:hAnsi="Times New Roman" w:cs="Times New Roman"/>
          <w:sz w:val="24"/>
          <w:szCs w:val="24"/>
        </w:rPr>
        <w:t>mainly uses logos</w:t>
      </w:r>
      <w:r w:rsidRPr="00326A31" w:rsidR="003A37FB">
        <w:rPr>
          <w:rFonts w:ascii="Times New Roman" w:hAnsi="Times New Roman" w:cs="Times New Roman"/>
          <w:sz w:val="24"/>
          <w:szCs w:val="24"/>
        </w:rPr>
        <w:t xml:space="preserve"> (appeal to logic)</w:t>
      </w:r>
      <w:r w:rsidRPr="00326A31" w:rsidR="00B062E2">
        <w:rPr>
          <w:rFonts w:ascii="Times New Roman" w:hAnsi="Times New Roman" w:cs="Times New Roman"/>
          <w:sz w:val="24"/>
          <w:szCs w:val="24"/>
        </w:rPr>
        <w:t xml:space="preserve"> to convince her readers. She gives an example of how the fear of failure helped her son pass his English subject. She says, "I will never forget a teacher who played that card to get the attention of one of my children" (488). In this statement, Sherry tries to capture the attention of the reader and convince them how the threat of failure works. The statement is an example of logos because it persuades the readers with reason, using an example.
</w:t>
      </w:r>
    </w:p>
    <w:p w:rsidR="00B062E2" w:rsidRPr="00326A31" w:rsidP="007056CC">
      <w:pPr>
        <w:spacing w:line="480" w:lineRule="auto"/>
        <w:ind w:firstLine="720"/>
        <w:rPr>
          <w:rFonts w:ascii="Times New Roman" w:hAnsi="Times New Roman" w:cs="Times New Roman"/>
          <w:sz w:val="24"/>
          <w:szCs w:val="24"/>
        </w:rPr>
      </w:pPr>
      <w:r w:rsidRPr="00326A31">
        <w:rPr>
          <w:rFonts w:ascii="Times New Roman" w:hAnsi="Times New Roman" w:cs="Times New Roman"/>
          <w:sz w:val="24"/>
          <w:szCs w:val="24"/>
        </w:rPr>
        <w:t>Anna Quindlen has used pathos</w:t>
      </w:r>
      <w:r w:rsidRPr="00326A31" w:rsidR="003A37FB">
        <w:rPr>
          <w:rFonts w:ascii="Times New Roman" w:hAnsi="Times New Roman" w:cs="Times New Roman"/>
          <w:sz w:val="24"/>
          <w:szCs w:val="24"/>
        </w:rPr>
        <w:t xml:space="preserve"> (appeal to emotion)</w:t>
      </w:r>
      <w:r w:rsidRPr="00326A31">
        <w:rPr>
          <w:rFonts w:ascii="Times New Roman" w:hAnsi="Times New Roman" w:cs="Times New Roman"/>
          <w:sz w:val="24"/>
          <w:szCs w:val="24"/>
        </w:rPr>
        <w:t xml:space="preserve"> </w:t>
      </w:r>
      <w:r w:rsidRPr="00326A31" w:rsidR="001469D4">
        <w:rPr>
          <w:rFonts w:ascii="Times New Roman" w:hAnsi="Times New Roman" w:cs="Times New Roman"/>
          <w:sz w:val="24"/>
          <w:szCs w:val="24"/>
        </w:rPr>
        <w:t xml:space="preserve">and logos </w:t>
      </w:r>
      <w:r w:rsidRPr="00326A31">
        <w:rPr>
          <w:rFonts w:ascii="Times New Roman" w:hAnsi="Times New Roman" w:cs="Times New Roman"/>
          <w:sz w:val="24"/>
          <w:szCs w:val="24"/>
        </w:rPr>
        <w:t>as her primary tool</w:t>
      </w:r>
      <w:r w:rsidRPr="00326A31" w:rsidR="003A37FB">
        <w:rPr>
          <w:rFonts w:ascii="Times New Roman" w:hAnsi="Times New Roman" w:cs="Times New Roman"/>
          <w:sz w:val="24"/>
          <w:szCs w:val="24"/>
        </w:rPr>
        <w:t>s</w:t>
      </w:r>
      <w:r w:rsidRPr="00326A31">
        <w:rPr>
          <w:rFonts w:ascii="Times New Roman" w:hAnsi="Times New Roman" w:cs="Times New Roman"/>
          <w:sz w:val="24"/>
          <w:szCs w:val="24"/>
        </w:rPr>
        <w:t xml:space="preserve"> of persuasion. At the beginning of her article, the author creates a somber mood when she brings the issue of burial where parents and friends have to attend the funeral of a child. The </w:t>
      </w:r>
      <w:r w:rsidRPr="00326A31" w:rsidR="001469D4">
        <w:rPr>
          <w:rFonts w:ascii="Times New Roman" w:hAnsi="Times New Roman" w:cs="Times New Roman"/>
          <w:sz w:val="24"/>
          <w:szCs w:val="24"/>
        </w:rPr>
        <w:t>author uses pathos to arouse the feelings of parents. She hopes that arousing the emotions of mourning and grief will make the parents be patient and wait for their children to be mature enough to drive</w:t>
      </w:r>
      <w:r w:rsidR="007056CC">
        <w:rPr>
          <w:rFonts w:ascii="Times New Roman" w:hAnsi="Times New Roman" w:cs="Times New Roman"/>
          <w:sz w:val="24"/>
          <w:szCs w:val="24"/>
        </w:rPr>
        <w:t xml:space="preserve">. </w:t>
      </w:r>
      <w:r w:rsidRPr="00326A31" w:rsidR="001469D4">
        <w:rPr>
          <w:rFonts w:ascii="Times New Roman" w:hAnsi="Times New Roman" w:cs="Times New Roman"/>
          <w:sz w:val="24"/>
          <w:szCs w:val="24"/>
        </w:rPr>
        <w:t>The author has, therefore, achieved his aim of discouraging underage driving. Quindlen also uses logos to persuade readers. For example, she uses statistics from The National Highway Traffic Safety Administration to show the danger of underage driving. 
</w:t>
      </w:r>
    </w:p>
    <w:p w:rsidR="001469D4" w:rsidRPr="00326A31" w:rsidP="007056CC">
      <w:pPr>
        <w:spacing w:line="480" w:lineRule="auto"/>
        <w:ind w:firstLine="720"/>
        <w:rPr>
          <w:rFonts w:ascii="Times New Roman" w:hAnsi="Times New Roman" w:cs="Times New Roman"/>
          <w:sz w:val="24"/>
          <w:szCs w:val="24"/>
        </w:rPr>
      </w:pPr>
      <w:r w:rsidRPr="00326A31">
        <w:rPr>
          <w:rFonts w:ascii="Times New Roman" w:hAnsi="Times New Roman" w:cs="Times New Roman"/>
          <w:sz w:val="24"/>
          <w:szCs w:val="24"/>
        </w:rPr>
        <w:t xml:space="preserve">Bittman, on the other hand, uses </w:t>
      </w:r>
      <w:r w:rsidRPr="00326A31" w:rsidR="00C512D9">
        <w:rPr>
          <w:rFonts w:ascii="Times New Roman" w:hAnsi="Times New Roman" w:cs="Times New Roman"/>
          <w:sz w:val="24"/>
          <w:szCs w:val="24"/>
        </w:rPr>
        <w:t>ethos to support his claims. The author uses his authority and credibility to convince his audience. One of the incidences where Bittman illustrates ethos is when he recommends the use of real food in promoting health while refuting hyper-processed foods. The author quotes, “this isn’t just me saying this, the Institute of Medicine and the Department of Agriculture agree.) (511). Bittman uses these institutions as a source of authority or command to prove that real food promotes health and less likely to cause health problems. The audience is bound to believe this information because credible institutions support it.</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89108434"/>
      <w:docPartObj>
        <w:docPartGallery w:val="Page Numbers (Top of Page)"/>
        <w:docPartUnique/>
      </w:docPartObj>
    </w:sdtPr>
    <w:sdtEndPr>
      <w:rPr>
        <w:rFonts w:ascii="Times New Roman" w:hAnsi="Times New Roman" w:cs="Times New Roman"/>
        <w:noProof/>
        <w:sz w:val="24"/>
        <w:szCs w:val="24"/>
      </w:rPr>
    </w:sdtEndPr>
    <w:sdtContent>
      <w:p w:rsidR="007056CC" w:rsidRPr="007056CC">
        <w:pPr>
          <w:pStyle w:val="Header"/>
          <w:jc w:val="right"/>
          <w:rPr>
            <w:rFonts w:ascii="Times New Roman" w:hAnsi="Times New Roman" w:cs="Times New Roman"/>
            <w:sz w:val="24"/>
            <w:szCs w:val="24"/>
          </w:rPr>
        </w:pPr>
        <w:r w:rsidRPr="007056CC">
          <w:rPr>
            <w:rFonts w:ascii="Times New Roman" w:hAnsi="Times New Roman" w:cs="Times New Roman"/>
            <w:sz w:val="24"/>
            <w:szCs w:val="24"/>
          </w:rPr>
          <w:t xml:space="preserve">Surname </w:t>
        </w:r>
        <w:r w:rsidRPr="007056CC">
          <w:rPr>
            <w:rFonts w:ascii="Times New Roman" w:hAnsi="Times New Roman" w:cs="Times New Roman"/>
            <w:sz w:val="24"/>
            <w:szCs w:val="24"/>
          </w:rPr>
          <w:fldChar w:fldCharType="begin"/>
        </w:r>
        <w:r w:rsidRPr="007056CC">
          <w:rPr>
            <w:rFonts w:ascii="Times New Roman" w:hAnsi="Times New Roman" w:cs="Times New Roman"/>
            <w:sz w:val="24"/>
            <w:szCs w:val="24"/>
          </w:rPr>
          <w:instrText xml:space="preserve"> PAGE   \* MERGEFORMAT </w:instrText>
        </w:r>
        <w:r w:rsidRPr="007056CC">
          <w:rPr>
            <w:rFonts w:ascii="Times New Roman" w:hAnsi="Times New Roman" w:cs="Times New Roman"/>
            <w:sz w:val="24"/>
            <w:szCs w:val="24"/>
          </w:rPr>
          <w:fldChar w:fldCharType="separate"/>
        </w:r>
        <w:r w:rsidR="00531EE5">
          <w:rPr>
            <w:rFonts w:ascii="Times New Roman" w:hAnsi="Times New Roman" w:cs="Times New Roman"/>
            <w:noProof/>
            <w:sz w:val="24"/>
            <w:szCs w:val="24"/>
          </w:rPr>
          <w:t>4</w:t>
        </w:r>
        <w:r w:rsidRPr="007056CC">
          <w:rPr>
            <w:rFonts w:ascii="Times New Roman" w:hAnsi="Times New Roman" w:cs="Times New Roman"/>
            <w:noProof/>
            <w:sz w:val="24"/>
            <w:szCs w:val="24"/>
          </w:rPr>
          <w:fldChar w:fldCharType="end"/>
        </w:r>
      </w:p>
    </w:sdtContent>
  </w:sdt>
  <w:p w:rsidR="007056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EB6"/>
    <w:rsid w:val="001469D4"/>
    <w:rsid w:val="00185B6F"/>
    <w:rsid w:val="00326A31"/>
    <w:rsid w:val="003A37FB"/>
    <w:rsid w:val="003E4407"/>
    <w:rsid w:val="00410D32"/>
    <w:rsid w:val="00457479"/>
    <w:rsid w:val="00470ADF"/>
    <w:rsid w:val="00482BB8"/>
    <w:rsid w:val="004C1EB6"/>
    <w:rsid w:val="0050652F"/>
    <w:rsid w:val="00531EE5"/>
    <w:rsid w:val="0062490C"/>
    <w:rsid w:val="00640D23"/>
    <w:rsid w:val="007056CC"/>
    <w:rsid w:val="007A3E70"/>
    <w:rsid w:val="0088302A"/>
    <w:rsid w:val="00A94F39"/>
    <w:rsid w:val="00B062E2"/>
    <w:rsid w:val="00B41796"/>
    <w:rsid w:val="00B936B1"/>
    <w:rsid w:val="00C512D9"/>
    <w:rsid w:val="00C56D44"/>
    <w:rsid w:val="00C81F7B"/>
    <w:rsid w:val="00CE338D"/>
    <w:rsid w:val="00D96A90"/>
    <w:rsid w:val="00DB65BE"/>
    <w:rsid w:val="00E5538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8555E79-FE25-44BB-B290-E3792BF89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1F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F7B"/>
  </w:style>
  <w:style w:type="paragraph" w:styleId="Footer">
    <w:name w:val="footer"/>
    <w:basedOn w:val="Normal"/>
    <w:link w:val="FooterChar"/>
    <w:uiPriority w:val="99"/>
    <w:unhideWhenUsed/>
    <w:rsid w:val="00C81F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4</Pages>
  <Words>978</Words>
  <Characters>5577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8</cp:revision>
  <dcterms:created xsi:type="dcterms:W3CDTF">2019-11-17T19:20:00Z</dcterms:created>
  <dcterms:modified xsi:type="dcterms:W3CDTF">2019-11-17T22:21:00Z</dcterms:modified>
</cp:coreProperties>
</file>